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state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Ozbek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00:02:44]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 on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forth.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improve them? And, whatnot.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decommissioning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have.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Matt,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want. I think in 50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That's-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automobiles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hovercrafts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Absolutely. We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Altitude,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focus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engineering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ago,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equipment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first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00:13:09]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do.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Department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opportunity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00:14:01]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tried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If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location.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extrapolate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00:18:45]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pedestrian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look at this.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15,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found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happen. But,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semester or 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then,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then,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00:26:51]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other one is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shortcomings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think it's a,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actually started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Basically, let's just put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least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 that's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Istanbul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Breckenridge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actually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think,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hydroponic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we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during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Avery.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very,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 pleasure.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Mehmet Ozbek: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www.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S4E10 Mehmet Ozbek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