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Muñoz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Glad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got 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days, we're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00:00:49]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pursue and why.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DACA.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 for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Mérida,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Yucatán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Amnesty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my goodness.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important. We're a land grant and we ought to take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across, all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can. What is a time where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think when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DACA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I'm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Diaspora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newcomers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Diaspora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newcomer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experience.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laws, and so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unveiling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And I think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inquisitive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But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days, 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fingerprints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fingerprints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Hernandez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I think I'm okay. Let me..."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 xml:space="preserve">And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Hernandez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injustices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Iowa State University.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 is 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Hernandez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Laura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Rendón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syllabi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'80s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did.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 God for little nudges like 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I know.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 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nourishing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oh, it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nourishing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Capricorn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CSU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I'm ACSU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00:22:39]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 to switch it up a little.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wanted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Rendón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University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Milwaukee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as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sabbatical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got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 it great?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didn't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is a lot.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HEL,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talked about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our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 really 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appreciate that. I appreciate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00:34:41]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Susana Muño...: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Hickey: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.edu.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 Martin: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S5E1 Susana Munoz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06,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