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Shomaker,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interwoven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comorbidities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inter-disciplines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CV.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panacea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ailments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spokesperson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go".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nine-month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Kudos.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Thompson,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forward-thinking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win-win.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payroll,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00:17:50]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inertia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Gutierrez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landmarks-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stay-at-home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enamored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relationships".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it".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that".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Intramural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Janowski,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endocrinologist,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do".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synonyms,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00:26:42]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CCTSI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kindergarten.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sabbatical.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sabbatical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sabbatical,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cushion,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fingerprints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fingerprints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00:36:32]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exemplary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Shomaker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www.chhs.colostate.edu.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S5E2 Lauren Shomaker (Completed  11/10/23)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LjyZwcmNg5sXNIP-owmFtOFTRQacekgRDmx_2hhjGT6FEguJ_cxC9iDMqrII5rHa4HGaeg75Q6HJFNNM8XcFc6siFjQ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