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McCulloch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we look a lot at what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disenfranchised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palliative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wrestle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disenfranchised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disenfranchised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sanctioned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phobic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palliative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All the way back.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orthodontist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orthodontist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ventilator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my gosh.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palliative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guess. As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mean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disenfranchised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interrupted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00:11:12]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VMBS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UC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I'm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enamored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connect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just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hiatuses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College of Health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Now when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work.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 undergrad was in psychology?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Just out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did you train?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don't know,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palliative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because again,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say, "I'm go back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can use that kind of language.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But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nausea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I'd have known,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I've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CSU?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ecstatic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19,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I'm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research partnership as 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reluctant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Congratulations. Good for 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veterinarian's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interesting isn't.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Oh, okay.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big critters?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zookeepers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elephant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disenfranchised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haven't we?" In many ways.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trailblazer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00:29:14]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vaccinations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 Is so great.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goodness.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country.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don't know.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"Can we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00:30:06]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 who said it, if you don't mind? Was it a student?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 Student.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Oh, yeah. So again, that's extra special, in some ways. Because we think of this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it's cool.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Cool, right. I don't know.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Abraham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if I were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tombstone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beautiful.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multifaceted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name, but I think me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thanatologist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Thanatologist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"This is why I do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your work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 don't know. I guess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encumbered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encumbered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would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I'd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fibrosis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congenital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not allowing a 20-year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 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>Jen Currin-McC...: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Thank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www.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.colostate.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Jen Currin-McCulloch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17,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