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Alaszkiewicz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Merchandising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CSU's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Merchandising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frivolous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 like 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Love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here. Yes, well said.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seamstresses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Quebec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Calgary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Alberta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quite a long ways.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did.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Quebec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city with a lot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Hemisphere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Quebec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place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Quebec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Quebec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CEGEP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CEGEP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Renaissance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simultaneously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ask, how did you find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Yes,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Foucault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00:11:03]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couple of lessons here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and mentor,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piqued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Merchandising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Vuitton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Vuitton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pronunciation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say 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We're doing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that's 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Yes,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Vuitton's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Vuitton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1860s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crinoline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crinolines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crinoline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crinoline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underskirt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1860s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underskirts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petticoats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unhygienic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crinolines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stiffened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Vuitton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Vuitton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Vuitton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with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Brexit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Brexit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head back to Montreal.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 not to McGill.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Concordia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Concordia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Concordia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1880s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ensemble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Concordia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simmering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that time, were you aware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overflowing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Had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Alberta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Alberta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PDF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2022?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then you got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now, a year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Avenir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garden.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amusement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 my pleasure.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years, 10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 already has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said. Thanks for spending a few minutes with us. We've had quite 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Museum.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Paula Alaszkie...: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.colostate.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Paula Alaszkiewicz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01,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