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Health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Thank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cardiometabolic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use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scurvy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anthocyanins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prebiotic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high school when that started.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can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degree?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00:06:53]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Did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very different climate. So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meteorology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wrong with that, right? So where'd you go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[foreign language 00:09:21]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 as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00:10:21]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[foreign language 00:11:03]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blueberries.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Became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piqued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one aspect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a sense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both ends of the spectrum?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horticulture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phytochemical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gastrointestinal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soybean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soybean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phytonutrient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simple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little bit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00:23:08]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meant to be.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00:23:51]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so if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questionnaires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would say 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perishable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Horticulture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 A. Jo...: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Thank you for having 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 good a 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.colostate.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Sarah Johnson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05,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