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interest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organelles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you're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senescence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nerdier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That's one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15 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bigger.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it,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trigger at that time?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my 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that was the end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takes the fun out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Karyn,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can talk 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Sheridan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Bozeman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it like?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mean,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had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didn't know it yet.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 so the next step?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they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Bozeman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chaperones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chaperones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chaperones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go?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our field.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He's a legend.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sure 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Bozeman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Bozeman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a jump.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how did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chaperone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who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 not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Which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That would be nice, right?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CSU-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Mathiason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symposium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great.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away from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mitochondria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20/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obnoxious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'Oh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vicariously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much 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unorthodox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personkind's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organismal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intolerance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ossification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kind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we'd be able to be more creative.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One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Santangelo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morbidities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morbidities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They're exposed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Karyn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glad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www.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.colostate.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Karyn Hamilton_final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19,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