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Youngblade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Tseng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Teymouri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Heidi Tseng: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Mohammad Teymou...: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But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taxpayer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okay, if you want to use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compatibility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these are the thing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Mohammad Teymou...: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believe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probiotic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intermittent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know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microcosm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was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firefighter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Skidmore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Skidmore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Skidmore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Skidmore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wow. Small world.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Mohammad Teymou...: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earthquake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earthquake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can put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Yompur,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COVID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 my goodness, wow.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Mohammad Teymou...: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want to 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thought,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"Okay,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This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week 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subcontractors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go,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Mohammad Teymou...: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Heidi Tseng: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My journey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Taiwan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eyebrows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researcher.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Taiwan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longitudinal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Youngblade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bequeathed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one thing.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disseminating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Heidi Tseng: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evocative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15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Mohammad Teymou...: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student,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want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say,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foreseeable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deterioration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90s, we need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We need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need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lot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with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way,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Mohammad Teymou...: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 xml:space="preserve">That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exactly.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how I would like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microbiome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Heidi Tseng: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Heidi Tseng: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acronym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Taiwan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questionnaires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Taiwanese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Do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am,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refreshing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that would be funny if I was like,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because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compartmentalize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Mohammad Teymou...: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country. Football,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think about it, it happens that we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Heidi Tseng: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00:34:41]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metropolitan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Taipei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Taiwan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it. And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Mohammad Teymou...: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thank 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precedent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man.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Graham: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.colostate.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Dean-s Fellows_Final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22,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