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thank you for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00:01:52]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Cheyenne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Cheyenne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 Just checking.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 about 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00:03:18]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where did that come from?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don't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Parmelee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Parmelee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Parmelee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sweet.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Parmelee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good.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00:07:01]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to hear.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microcosm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19, 20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 I'm a product of that. Myself.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Absolutely. And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You've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caricatures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caricature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And that's the special value of what we have 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syllabus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most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extrapolate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in sometimes.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Kalven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But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know that we've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 well 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well 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so,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It's 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Lory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 those credits 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not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am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 a product of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was on KCSU.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fun.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Parsons: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been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www.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President Parsons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06,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